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EF" w:rsidRPr="00D54A64" w:rsidRDefault="00DC70EF" w:rsidP="00883D79">
      <w:pPr>
        <w:spacing w:after="150"/>
        <w:textAlignment w:val="baseline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en-CA"/>
        </w:rPr>
      </w:pPr>
      <w:r w:rsidRPr="00D54A64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en-CA"/>
        </w:rPr>
        <w:t>Using the Toolkit to Enhance Governance and Leadership Roles</w:t>
      </w:r>
    </w:p>
    <w:p w:rsidR="00DC70EF" w:rsidRPr="00DC70EF" w:rsidRDefault="00DC70EF" w:rsidP="00883D79">
      <w:pPr>
        <w:spacing w:after="1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The Nurse Executive Leader Toolkit provides resources to help you: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Determine the impact of establishing and developing the nurse executive role to its full scope, in light of the nurse executive’s newly mandated role and responsibilities.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Consider the Frequently Asked Questions (FAQs) as they accommodate the various impacts of the mandated change.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Identify the legal and regulatory issues involved with the new role and responsibilities of nurse executives in Ontario hospitals / acute care settings or public health units.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Create a customized Reporting Template for Priority Indicators, and / or presentation using the templates and exemplars provided.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Establish a plan to clearly identify and communicate the nurse executive’s new role and responsibilities within hospital/acute care settings or public health units.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Create a sustainable budget to develop and optimize the nurse executive role in hospital / acute care settings or public health units.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Use the peer-generated Nurse Executive Role and Responsibilities Framework and the Nurse Executive Self-Assessment Tool to identify areas of strength as well as areas that require growth over time. Compare current self-assessments with benchmark indicators or previous assessments.</w:t>
      </w:r>
    </w:p>
    <w:p w:rsidR="00DC70EF" w:rsidRPr="00DC70EF" w:rsidRDefault="00DC70EF" w:rsidP="00883D79">
      <w:pPr>
        <w:numPr>
          <w:ilvl w:val="0"/>
          <w:numId w:val="3"/>
        </w:numPr>
        <w:spacing w:after="0"/>
        <w:ind w:left="450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 w:rsidRPr="00DC70EF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Consider innovative roles for nurse executives, and advocate for further enabling legislative and regulatory changes.</w:t>
      </w:r>
    </w:p>
    <w:p w:rsidR="00423B1C" w:rsidRDefault="00423B1C" w:rsidP="00883D79">
      <w:pPr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</w:p>
    <w:sectPr w:rsidR="00423B1C" w:rsidSect="00297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8F6"/>
    <w:multiLevelType w:val="multilevel"/>
    <w:tmpl w:val="1A4E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751E3"/>
    <w:multiLevelType w:val="multilevel"/>
    <w:tmpl w:val="79D67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257C9"/>
    <w:multiLevelType w:val="multilevel"/>
    <w:tmpl w:val="4EA4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0EF"/>
    <w:rsid w:val="00054E25"/>
    <w:rsid w:val="00165FA5"/>
    <w:rsid w:val="00182C2C"/>
    <w:rsid w:val="00233324"/>
    <w:rsid w:val="0029713D"/>
    <w:rsid w:val="00340D02"/>
    <w:rsid w:val="00423B1C"/>
    <w:rsid w:val="004D0BAF"/>
    <w:rsid w:val="0076154D"/>
    <w:rsid w:val="007B502F"/>
    <w:rsid w:val="007E28FB"/>
    <w:rsid w:val="00883D79"/>
    <w:rsid w:val="00D54A64"/>
    <w:rsid w:val="00D740D4"/>
    <w:rsid w:val="00DC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3D"/>
  </w:style>
  <w:style w:type="paragraph" w:styleId="Heading1">
    <w:name w:val="heading 1"/>
    <w:basedOn w:val="Normal"/>
    <w:link w:val="Heading1Char"/>
    <w:uiPriority w:val="9"/>
    <w:qFormat/>
    <w:rsid w:val="00DC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C70E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DC70EF"/>
  </w:style>
  <w:style w:type="character" w:styleId="Emphasis">
    <w:name w:val="Emphasis"/>
    <w:basedOn w:val="DefaultParagraphFont"/>
    <w:uiPriority w:val="20"/>
    <w:qFormat/>
    <w:rsid w:val="00DC70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7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6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Kimbo</dc:creator>
  <cp:lastModifiedBy>BC Kimbo</cp:lastModifiedBy>
  <cp:revision>4</cp:revision>
  <dcterms:created xsi:type="dcterms:W3CDTF">2014-06-21T17:22:00Z</dcterms:created>
  <dcterms:modified xsi:type="dcterms:W3CDTF">2014-06-21T17:40:00Z</dcterms:modified>
</cp:coreProperties>
</file>